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5B" w:rsidRDefault="00507234">
      <w:pPr>
        <w:pStyle w:val="11"/>
        <w:spacing w:line="240" w:lineRule="auto"/>
        <w:ind w:left="0" w:right="57"/>
        <w:jc w:val="center"/>
        <w:outlineLvl w:val="0"/>
        <w:rPr>
          <w:rFonts w:ascii="宋体" w:eastAsia="宋体" w:hAnsi="宋体" w:cs="宋体"/>
          <w:bCs w:val="0"/>
          <w:kern w:val="44"/>
          <w:szCs w:val="15"/>
        </w:rPr>
      </w:pPr>
      <w:r>
        <w:rPr>
          <w:rFonts w:ascii="宋体" w:eastAsia="宋体" w:hAnsi="宋体" w:cs="宋体" w:hint="eastAsia"/>
          <w:bCs w:val="0"/>
          <w:kern w:val="44"/>
          <w:szCs w:val="15"/>
        </w:rPr>
        <w:t>哈尔滨机场21部直梯维保服务项目</w:t>
      </w:r>
    </w:p>
    <w:p w:rsidR="0000125B" w:rsidRDefault="00507234">
      <w:pPr>
        <w:pStyle w:val="11"/>
        <w:spacing w:line="240" w:lineRule="auto"/>
        <w:ind w:left="0" w:right="57"/>
        <w:jc w:val="center"/>
        <w:outlineLvl w:val="0"/>
        <w:rPr>
          <w:rFonts w:ascii="宋体" w:eastAsia="宋体" w:hAnsi="宋体" w:cs="宋体"/>
          <w:bCs w:val="0"/>
          <w:kern w:val="44"/>
          <w:szCs w:val="15"/>
        </w:rPr>
      </w:pPr>
      <w:r>
        <w:rPr>
          <w:rFonts w:ascii="宋体" w:eastAsia="宋体" w:hAnsi="宋体" w:cs="宋体" w:hint="eastAsia"/>
          <w:bCs w:val="0"/>
          <w:kern w:val="44"/>
          <w:szCs w:val="15"/>
        </w:rPr>
        <w:t>招标公告</w:t>
      </w:r>
    </w:p>
    <w:p w:rsidR="0000125B" w:rsidRDefault="00507234">
      <w:pPr>
        <w:pStyle w:val="2"/>
        <w:spacing w:before="0" w:after="0" w:line="360" w:lineRule="auto"/>
        <w:jc w:val="both"/>
        <w:rPr>
          <w:rFonts w:ascii="宋体" w:eastAsia="宋体" w:hAnsi="宋体" w:cs="宋体"/>
          <w:kern w:val="2"/>
          <w:sz w:val="28"/>
          <w:szCs w:val="28"/>
        </w:rPr>
      </w:pPr>
      <w:r>
        <w:rPr>
          <w:rFonts w:ascii="宋体" w:eastAsia="宋体" w:hAnsi="宋体" w:cs="宋体" w:hint="eastAsia"/>
          <w:kern w:val="2"/>
          <w:sz w:val="28"/>
          <w:szCs w:val="28"/>
        </w:rPr>
        <w:t>1. 招标条件</w:t>
      </w:r>
    </w:p>
    <w:p w:rsidR="0000125B" w:rsidRDefault="00507234">
      <w:pPr>
        <w:widowControl/>
        <w:spacing w:line="360" w:lineRule="auto"/>
        <w:ind w:firstLineChars="200" w:firstLine="420"/>
        <w:outlineLvl w:val="1"/>
        <w:rPr>
          <w:rFonts w:ascii="宋体" w:hAnsi="宋体" w:cs="宋体"/>
          <w:szCs w:val="21"/>
        </w:rPr>
      </w:pPr>
      <w:r>
        <w:rPr>
          <w:rFonts w:ascii="宋体" w:hAnsi="宋体" w:cs="宋体" w:hint="eastAsia"/>
          <w:szCs w:val="21"/>
        </w:rPr>
        <w:t>本招标项目</w:t>
      </w:r>
      <w:r>
        <w:rPr>
          <w:rFonts w:ascii="宋体" w:hAnsi="宋体" w:cs="宋体" w:hint="eastAsia"/>
          <w:szCs w:val="21"/>
          <w:u w:val="single"/>
        </w:rPr>
        <w:t>哈尔滨机场21部直梯维保服务项目</w:t>
      </w:r>
      <w:r>
        <w:rPr>
          <w:rFonts w:ascii="宋体" w:hAnsi="宋体" w:cs="宋体" w:hint="eastAsia"/>
          <w:szCs w:val="21"/>
        </w:rPr>
        <w:t>发包人为黑龙江省机场管理集团有限公司信息管理部。项目已由主管部门批准实施，招标项目资金来自企业自筹（资金来源），出资比例为100%。项目已具备招标条件，现对</w:t>
      </w:r>
      <w:r>
        <w:rPr>
          <w:rFonts w:ascii="宋体" w:hAnsi="宋体" w:cs="宋体" w:hint="eastAsia"/>
          <w:szCs w:val="21"/>
          <w:u w:val="single"/>
        </w:rPr>
        <w:t>哈尔滨机场21部直梯维保服务项目</w:t>
      </w:r>
      <w:r>
        <w:rPr>
          <w:rFonts w:ascii="宋体" w:hAnsi="宋体" w:cs="宋体" w:hint="eastAsia"/>
          <w:szCs w:val="21"/>
        </w:rPr>
        <w:t>进行公开招标。</w:t>
      </w:r>
    </w:p>
    <w:p w:rsidR="0000125B" w:rsidRDefault="00507234">
      <w:pPr>
        <w:pStyle w:val="2"/>
        <w:numPr>
          <w:ilvl w:val="0"/>
          <w:numId w:val="1"/>
        </w:numPr>
        <w:spacing w:before="0" w:after="0" w:line="360" w:lineRule="auto"/>
        <w:jc w:val="both"/>
        <w:rPr>
          <w:rFonts w:ascii="宋体" w:eastAsia="宋体" w:hAnsi="宋体" w:cs="宋体"/>
          <w:kern w:val="2"/>
          <w:sz w:val="28"/>
          <w:szCs w:val="28"/>
        </w:rPr>
      </w:pPr>
      <w:r>
        <w:rPr>
          <w:rFonts w:ascii="宋体" w:eastAsia="宋体" w:hAnsi="宋体" w:cs="宋体" w:hint="eastAsia"/>
          <w:kern w:val="2"/>
          <w:sz w:val="28"/>
          <w:szCs w:val="28"/>
        </w:rPr>
        <w:t>项目概况与招标范围</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本项目拟对哈尔滨机场21部直梯进行维保,涵盖T2航站楼内21部直梯的维保工作。维保单位负责电梯的日常维保工作；按照半月、季度、半年、年度维保的工作要求，对全部电梯进行清洁、润滑、检查、调整，更换不符合要求的易损件。</w:t>
      </w:r>
    </w:p>
    <w:p w:rsidR="0000125B" w:rsidRDefault="00507234">
      <w:pPr>
        <w:spacing w:line="360" w:lineRule="auto"/>
        <w:ind w:firstLineChars="200" w:firstLine="420"/>
        <w:rPr>
          <w:b/>
          <w:bCs/>
          <w:sz w:val="24"/>
        </w:rPr>
      </w:pPr>
      <w:r>
        <w:rPr>
          <w:rFonts w:hint="eastAsia"/>
          <w:szCs w:val="21"/>
        </w:rPr>
        <w:t>本项目服务期自合同签订起</w:t>
      </w:r>
      <w:r>
        <w:rPr>
          <w:rFonts w:hint="eastAsia"/>
          <w:szCs w:val="21"/>
        </w:rPr>
        <w:t>365</w:t>
      </w:r>
      <w:r>
        <w:rPr>
          <w:rFonts w:hint="eastAsia"/>
          <w:szCs w:val="21"/>
        </w:rPr>
        <w:t>天，项目地点为哈尔滨太平国际机场内，本项目采用</w:t>
      </w:r>
      <w:r>
        <w:rPr>
          <w:rFonts w:hint="eastAsia"/>
          <w:szCs w:val="21"/>
        </w:rPr>
        <w:t>1+1+1</w:t>
      </w:r>
      <w:r>
        <w:rPr>
          <w:rFonts w:hint="eastAsia"/>
          <w:szCs w:val="21"/>
        </w:rPr>
        <w:t>模式，本合同期满后，经考核评定，乙方考核结果在</w:t>
      </w:r>
      <w:r>
        <w:rPr>
          <w:rFonts w:hint="eastAsia"/>
          <w:szCs w:val="21"/>
        </w:rPr>
        <w:t>90</w:t>
      </w:r>
      <w:r>
        <w:rPr>
          <w:rFonts w:hint="eastAsia"/>
          <w:szCs w:val="21"/>
        </w:rPr>
        <w:t>分（含）以上，甲方同意乙方续签。如甲乙双方无异议，合同自动延续一年。</w:t>
      </w:r>
    </w:p>
    <w:p w:rsidR="0000125B" w:rsidRDefault="00507234">
      <w:pPr>
        <w:pStyle w:val="a0"/>
        <w:ind w:leftChars="0" w:left="0"/>
        <w:jc w:val="center"/>
      </w:pPr>
      <w:r>
        <w:rPr>
          <w:rFonts w:hint="eastAsia"/>
          <w:b/>
          <w:bCs/>
          <w:sz w:val="24"/>
        </w:rPr>
        <w:t>设备列表</w:t>
      </w:r>
    </w:p>
    <w:tbl>
      <w:tblPr>
        <w:tblStyle w:val="a4"/>
        <w:tblW w:w="8600" w:type="dxa"/>
        <w:tblLook w:val="04A0"/>
      </w:tblPr>
      <w:tblGrid>
        <w:gridCol w:w="2306"/>
        <w:gridCol w:w="2098"/>
        <w:gridCol w:w="2098"/>
        <w:gridCol w:w="2098"/>
      </w:tblGrid>
      <w:tr w:rsidR="0000125B">
        <w:tc>
          <w:tcPr>
            <w:tcW w:w="2306" w:type="dxa"/>
          </w:tcPr>
          <w:p w:rsidR="0000125B" w:rsidRDefault="00507234">
            <w:pPr>
              <w:pStyle w:val="a0"/>
              <w:ind w:leftChars="0" w:left="0"/>
              <w:jc w:val="center"/>
              <w:rPr>
                <w:rFonts w:ascii="宋体" w:hAnsi="宋体" w:cs="宋体"/>
                <w:szCs w:val="21"/>
              </w:rPr>
            </w:pPr>
            <w:r>
              <w:rPr>
                <w:rFonts w:ascii="宋体" w:hAnsi="宋体" w:cs="宋体" w:hint="eastAsia"/>
                <w:szCs w:val="21"/>
              </w:rPr>
              <w:t>品牌</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型号</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类型</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数量</w:t>
            </w:r>
          </w:p>
        </w:tc>
      </w:tr>
      <w:tr w:rsidR="0000125B">
        <w:tc>
          <w:tcPr>
            <w:tcW w:w="2306" w:type="dxa"/>
          </w:tcPr>
          <w:p w:rsidR="0000125B" w:rsidRDefault="00507234">
            <w:pPr>
              <w:pStyle w:val="a0"/>
              <w:ind w:leftChars="0" w:left="0"/>
              <w:jc w:val="center"/>
              <w:rPr>
                <w:rFonts w:ascii="宋体" w:hAnsi="宋体" w:cs="宋体"/>
                <w:szCs w:val="21"/>
              </w:rPr>
            </w:pPr>
            <w:r>
              <w:rPr>
                <w:rFonts w:ascii="宋体" w:hAnsi="宋体" w:cs="宋体" w:hint="eastAsia"/>
                <w:szCs w:val="21"/>
              </w:rPr>
              <w:t>通力电梯</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KONE MONO Space</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直梯</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17</w:t>
            </w:r>
          </w:p>
        </w:tc>
      </w:tr>
      <w:tr w:rsidR="0000125B">
        <w:tc>
          <w:tcPr>
            <w:tcW w:w="2306" w:type="dxa"/>
          </w:tcPr>
          <w:p w:rsidR="0000125B" w:rsidRDefault="00507234">
            <w:pPr>
              <w:pStyle w:val="a0"/>
              <w:ind w:leftChars="0" w:left="0"/>
              <w:jc w:val="center"/>
              <w:rPr>
                <w:rFonts w:ascii="宋体" w:hAnsi="宋体" w:cs="宋体"/>
                <w:szCs w:val="21"/>
              </w:rPr>
            </w:pPr>
            <w:r>
              <w:rPr>
                <w:rFonts w:ascii="宋体" w:hAnsi="宋体" w:cs="宋体" w:hint="eastAsia"/>
                <w:szCs w:val="21"/>
              </w:rPr>
              <w:t>通力电梯</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KONE Transys</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直梯</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3</w:t>
            </w:r>
          </w:p>
        </w:tc>
      </w:tr>
      <w:tr w:rsidR="0000125B">
        <w:tc>
          <w:tcPr>
            <w:tcW w:w="2306" w:type="dxa"/>
          </w:tcPr>
          <w:p w:rsidR="0000125B" w:rsidRDefault="00507234">
            <w:pPr>
              <w:pStyle w:val="a0"/>
              <w:ind w:leftChars="0" w:left="0"/>
              <w:jc w:val="center"/>
              <w:rPr>
                <w:rFonts w:ascii="宋体" w:hAnsi="宋体" w:cs="宋体"/>
                <w:szCs w:val="21"/>
              </w:rPr>
            </w:pPr>
            <w:r>
              <w:rPr>
                <w:rFonts w:ascii="宋体" w:hAnsi="宋体" w:cs="宋体" w:hint="eastAsia"/>
                <w:szCs w:val="21"/>
              </w:rPr>
              <w:t>东南电梯</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THJ1600/0.5-JXW</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直梯</w:t>
            </w:r>
          </w:p>
        </w:tc>
        <w:tc>
          <w:tcPr>
            <w:tcW w:w="2098" w:type="dxa"/>
          </w:tcPr>
          <w:p w:rsidR="0000125B" w:rsidRDefault="00507234">
            <w:pPr>
              <w:pStyle w:val="a0"/>
              <w:ind w:leftChars="0" w:left="0"/>
              <w:jc w:val="center"/>
              <w:rPr>
                <w:rFonts w:ascii="宋体" w:hAnsi="宋体" w:cs="宋体"/>
                <w:szCs w:val="21"/>
              </w:rPr>
            </w:pPr>
            <w:r>
              <w:rPr>
                <w:rFonts w:ascii="宋体" w:hAnsi="宋体" w:cs="宋体" w:hint="eastAsia"/>
                <w:szCs w:val="21"/>
              </w:rPr>
              <w:t>1</w:t>
            </w:r>
          </w:p>
        </w:tc>
      </w:tr>
    </w:tbl>
    <w:p w:rsidR="0000125B" w:rsidRDefault="0000125B">
      <w:pPr>
        <w:pStyle w:val="a0"/>
      </w:pPr>
    </w:p>
    <w:p w:rsidR="0000125B" w:rsidRDefault="00507234">
      <w:pPr>
        <w:pStyle w:val="2"/>
        <w:numPr>
          <w:ilvl w:val="0"/>
          <w:numId w:val="2"/>
        </w:numPr>
        <w:spacing w:before="0" w:after="0" w:line="360" w:lineRule="auto"/>
        <w:jc w:val="both"/>
        <w:rPr>
          <w:rFonts w:ascii="宋体" w:eastAsia="宋体" w:hAnsi="宋体" w:cs="宋体"/>
          <w:kern w:val="2"/>
          <w:sz w:val="28"/>
          <w:szCs w:val="28"/>
        </w:rPr>
      </w:pPr>
      <w:r>
        <w:rPr>
          <w:rFonts w:ascii="宋体" w:eastAsia="宋体" w:hAnsi="宋体" w:cs="宋体" w:hint="eastAsia"/>
          <w:kern w:val="2"/>
          <w:sz w:val="28"/>
          <w:szCs w:val="28"/>
        </w:rPr>
        <w:t>投标人资格要求</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3.1法人资格：投标人须是中华人民共和国境内正式注册并具有有效独立法人资格的法人或其他组织。持有工商行政管理部门核发的企业法人营业执照或国家事业单位登记管理机关核发的事业单位法人资格证书。</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3.2本次招标不接受被人民法院列为失信被执行人的单位申请，以“信用中国”网站（www.creditchina.gov.cn）或“中国执行信息公开网”网站（http://zxgk.court.gov.cn）查询信息为准。</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3.3投标人</w:t>
      </w:r>
      <w:r>
        <w:rPr>
          <w:rFonts w:cs="宋体" w:hint="eastAsia"/>
          <w:szCs w:val="21"/>
        </w:rPr>
        <w:t>需</w:t>
      </w:r>
      <w:r>
        <w:rPr>
          <w:rFonts w:ascii="宋体" w:hAnsi="宋体" w:cs="宋体" w:hint="eastAsia"/>
          <w:szCs w:val="21"/>
        </w:rPr>
        <w:t>具有国家质量监督检验检疫总局颁发的“中华人民共和国特种设备安装改造维修许可证”电梯C级(含)以上资质（</w:t>
      </w:r>
      <w:r>
        <w:rPr>
          <w:rFonts w:hint="eastAsia"/>
          <w:szCs w:val="21"/>
        </w:rPr>
        <w:t>投标时复印件加盖投标人公章放于投标文件中</w:t>
      </w:r>
      <w:r>
        <w:rPr>
          <w:rFonts w:ascii="宋体" w:hAnsi="宋体" w:cs="宋体" w:hint="eastAsia"/>
          <w:szCs w:val="21"/>
        </w:rPr>
        <w:t>）。</w:t>
      </w:r>
    </w:p>
    <w:p w:rsidR="0000125B" w:rsidRDefault="00507234">
      <w:pPr>
        <w:spacing w:line="360" w:lineRule="auto"/>
        <w:ind w:firstLineChars="200" w:firstLine="420"/>
        <w:rPr>
          <w:szCs w:val="21"/>
        </w:rPr>
      </w:pPr>
      <w:r>
        <w:rPr>
          <w:rFonts w:ascii="宋体" w:hAnsi="宋体" w:cs="宋体" w:hint="eastAsia"/>
          <w:szCs w:val="21"/>
        </w:rPr>
        <w:t>3.4</w:t>
      </w:r>
      <w:r>
        <w:rPr>
          <w:rFonts w:hint="eastAsia"/>
          <w:szCs w:val="21"/>
        </w:rPr>
        <w:t>担任本项目的维保人员需具有质量技术监督部门审核颁发的电梯类特种设备作业</w:t>
      </w:r>
      <w:r>
        <w:rPr>
          <w:rFonts w:hint="eastAsia"/>
          <w:szCs w:val="21"/>
        </w:rPr>
        <w:lastRenderedPageBreak/>
        <w:t>人员证书。</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3.5单位法定代表人为同一人或者存在控股、管理关系的不同单位，不得同时参加本招标项目投标。</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3.6本项目不接受联合体投标。</w:t>
      </w:r>
    </w:p>
    <w:p w:rsidR="0000125B" w:rsidRDefault="00507234">
      <w:pPr>
        <w:pStyle w:val="2"/>
        <w:spacing w:before="0" w:after="0" w:line="360" w:lineRule="auto"/>
        <w:jc w:val="both"/>
        <w:rPr>
          <w:rFonts w:ascii="宋体" w:eastAsia="宋体" w:hAnsi="宋体" w:cs="宋体"/>
          <w:kern w:val="2"/>
          <w:sz w:val="28"/>
          <w:szCs w:val="28"/>
        </w:rPr>
      </w:pPr>
      <w:r>
        <w:rPr>
          <w:rFonts w:ascii="宋体" w:eastAsia="宋体" w:hAnsi="宋体" w:cs="宋体" w:hint="eastAsia"/>
          <w:kern w:val="2"/>
          <w:sz w:val="28"/>
          <w:szCs w:val="28"/>
        </w:rPr>
        <w:t>4. 招标文件的获取</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4.1凡有意参加投标者，请于2021年11月30日至2021年12月6日，每日9时至13时，(北京时间，下同)，将营业执照、纳税人资质以及开户许可、国家质量监督检验检疫总局颁发的“中华人民共和国特种设备安装改造维修许可证”电梯C级(含)以上资质、维保人员电梯类特种设备作业人员证书等加盖单位公章扫描文件发送至电子邮箱：</w:t>
      </w:r>
      <w:r w:rsidR="0018717A">
        <w:rPr>
          <w:rFonts w:ascii="宋体" w:hAnsi="宋体" w:cs="宋体" w:hint="eastAsia"/>
          <w:szCs w:val="21"/>
        </w:rPr>
        <w:t>jishubiaozhunshi@163.com</w:t>
      </w:r>
      <w:r>
        <w:rPr>
          <w:rFonts w:ascii="宋体" w:hAnsi="宋体" w:cs="宋体" w:hint="eastAsia"/>
          <w:szCs w:val="21"/>
        </w:rPr>
        <w:t>，并在发送邮箱后电话告知，资质查验合格后通过原邮箱地址发送电子版招标文件。</w:t>
      </w:r>
    </w:p>
    <w:p w:rsidR="0000125B" w:rsidRDefault="00507234">
      <w:pPr>
        <w:pStyle w:val="2"/>
        <w:spacing w:before="0" w:after="0" w:line="360" w:lineRule="auto"/>
        <w:jc w:val="both"/>
        <w:rPr>
          <w:rFonts w:ascii="宋体" w:eastAsia="宋体" w:hAnsi="宋体" w:cs="宋体"/>
          <w:kern w:val="2"/>
          <w:sz w:val="28"/>
          <w:szCs w:val="28"/>
        </w:rPr>
      </w:pPr>
      <w:r>
        <w:rPr>
          <w:rFonts w:ascii="宋体" w:eastAsia="宋体" w:hAnsi="宋体" w:cs="宋体" w:hint="eastAsia"/>
          <w:kern w:val="2"/>
          <w:sz w:val="28"/>
          <w:szCs w:val="28"/>
        </w:rPr>
        <w:t>5. 投标文件的递交</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5.1投标文件递交的截止时间（投标截止时间，下同）为2021年12月27日9时30分，地点为哈尔滨太平国际机场信息中心412室。</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5.2 逾期送达的、未送达指定地点的或者不按照招标文件要求密封的投标文件，招标人将予以拒收。</w:t>
      </w:r>
    </w:p>
    <w:p w:rsidR="0000125B" w:rsidRDefault="00507234">
      <w:pPr>
        <w:pStyle w:val="2"/>
        <w:spacing w:before="0" w:after="0" w:line="360" w:lineRule="auto"/>
        <w:jc w:val="both"/>
        <w:rPr>
          <w:rFonts w:ascii="宋体" w:eastAsia="宋体" w:hAnsi="宋体" w:cs="宋体"/>
          <w:kern w:val="2"/>
          <w:sz w:val="28"/>
          <w:szCs w:val="28"/>
        </w:rPr>
      </w:pPr>
      <w:r>
        <w:rPr>
          <w:rFonts w:ascii="宋体" w:eastAsia="宋体" w:hAnsi="宋体" w:cs="宋体" w:hint="eastAsia"/>
          <w:kern w:val="2"/>
          <w:sz w:val="28"/>
          <w:szCs w:val="28"/>
        </w:rPr>
        <w:t>6. 发布公告的媒介</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本项目招标公告发布于黑龙江省机场管理集团有限公司OA网主页阳光龙江招采信息及中国招投标公共服务平台。</w:t>
      </w:r>
    </w:p>
    <w:p w:rsidR="0000125B" w:rsidRDefault="00507234">
      <w:pPr>
        <w:pStyle w:val="2"/>
        <w:spacing w:before="0" w:after="0" w:line="360" w:lineRule="auto"/>
        <w:jc w:val="both"/>
        <w:rPr>
          <w:rFonts w:ascii="宋体" w:eastAsia="宋体" w:hAnsi="宋体" w:cs="宋体"/>
          <w:kern w:val="2"/>
          <w:sz w:val="28"/>
          <w:szCs w:val="28"/>
        </w:rPr>
      </w:pPr>
      <w:r>
        <w:rPr>
          <w:rFonts w:ascii="宋体" w:eastAsia="宋体" w:hAnsi="宋体" w:cs="宋体" w:hint="eastAsia"/>
          <w:kern w:val="2"/>
          <w:sz w:val="28"/>
          <w:szCs w:val="28"/>
        </w:rPr>
        <w:t>7. 联系方式</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招标人：黑龙江省机场管理集团有限公司哈尔滨太平国际机场信息管理部</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地址：哈尔滨太平国际机场</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联系人：周洪涛</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电话：</w:t>
      </w:r>
      <w:r>
        <w:rPr>
          <w:rFonts w:ascii="宋体" w:hAnsi="宋体" w:cs="宋体"/>
          <w:szCs w:val="21"/>
        </w:rPr>
        <w:t>82895353</w:t>
      </w:r>
    </w:p>
    <w:p w:rsidR="0000125B" w:rsidRDefault="00507234">
      <w:pPr>
        <w:spacing w:line="360" w:lineRule="auto"/>
        <w:ind w:firstLineChars="200" w:firstLine="420"/>
        <w:rPr>
          <w:rFonts w:ascii="宋体" w:hAnsi="宋体" w:cs="宋体"/>
          <w:szCs w:val="21"/>
        </w:rPr>
      </w:pPr>
      <w:r>
        <w:rPr>
          <w:rFonts w:ascii="宋体" w:hAnsi="宋体" w:cs="宋体" w:hint="eastAsia"/>
          <w:szCs w:val="21"/>
        </w:rPr>
        <w:t>电子邮件：</w:t>
      </w:r>
      <w:r>
        <w:rPr>
          <w:rFonts w:ascii="宋体" w:hAnsi="宋体" w:cs="宋体"/>
          <w:szCs w:val="21"/>
        </w:rPr>
        <w:t>84526367</w:t>
      </w:r>
      <w:r>
        <w:rPr>
          <w:rFonts w:ascii="宋体" w:hAnsi="宋体" w:cs="宋体" w:hint="eastAsia"/>
          <w:szCs w:val="21"/>
        </w:rPr>
        <w:t>@qq.com</w:t>
      </w:r>
    </w:p>
    <w:p w:rsidR="0000125B" w:rsidRDefault="0000125B" w:rsidP="0018717A">
      <w:pPr>
        <w:pStyle w:val="a0"/>
        <w:ind w:leftChars="0" w:left="0"/>
        <w:rPr>
          <w:rFonts w:ascii="宋体" w:hAnsi="宋体" w:cs="宋体"/>
          <w:szCs w:val="21"/>
          <w:highlight w:val="yellow"/>
        </w:rPr>
      </w:pPr>
    </w:p>
    <w:p w:rsidR="0000125B" w:rsidRDefault="0000125B">
      <w:pPr>
        <w:rPr>
          <w:rFonts w:ascii="宋体" w:hAnsi="宋体" w:cs="宋体"/>
          <w:szCs w:val="21"/>
          <w:highlight w:val="yellow"/>
        </w:rPr>
      </w:pPr>
    </w:p>
    <w:p w:rsidR="0000125B" w:rsidRDefault="0000125B">
      <w:pPr>
        <w:pStyle w:val="a0"/>
      </w:pPr>
    </w:p>
    <w:p w:rsidR="0000125B" w:rsidRDefault="00507234">
      <w:pPr>
        <w:spacing w:line="360" w:lineRule="auto"/>
        <w:ind w:firstLineChars="2500" w:firstLine="5250"/>
      </w:pPr>
      <w:r>
        <w:rPr>
          <w:rFonts w:ascii="宋体" w:hAnsi="宋体" w:cs="宋体" w:hint="eastAsia"/>
          <w:szCs w:val="21"/>
        </w:rPr>
        <w:t>2021年11月29日</w:t>
      </w:r>
    </w:p>
    <w:sectPr w:rsidR="0000125B" w:rsidSect="008B5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278" w:rsidRDefault="00875278" w:rsidP="0018717A">
      <w:r>
        <w:separator/>
      </w:r>
    </w:p>
  </w:endnote>
  <w:endnote w:type="continuationSeparator" w:id="1">
    <w:p w:rsidR="00875278" w:rsidRDefault="00875278" w:rsidP="001871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278" w:rsidRDefault="00875278" w:rsidP="0018717A">
      <w:r>
        <w:separator/>
      </w:r>
    </w:p>
  </w:footnote>
  <w:footnote w:type="continuationSeparator" w:id="1">
    <w:p w:rsidR="00875278" w:rsidRDefault="00875278" w:rsidP="00187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A40B47"/>
    <w:multiLevelType w:val="singleLevel"/>
    <w:tmpl w:val="A9A40B47"/>
    <w:lvl w:ilvl="0">
      <w:start w:val="3"/>
      <w:numFmt w:val="decimal"/>
      <w:suff w:val="space"/>
      <w:lvlText w:val="%1."/>
      <w:lvlJc w:val="left"/>
    </w:lvl>
  </w:abstractNum>
  <w:abstractNum w:abstractNumId="1">
    <w:nsid w:val="F69ECAB3"/>
    <w:multiLevelType w:val="singleLevel"/>
    <w:tmpl w:val="F69ECAB3"/>
    <w:lvl w:ilvl="0">
      <w:start w:val="2"/>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125B"/>
    <w:rsid w:val="0000125B"/>
    <w:rsid w:val="0018717A"/>
    <w:rsid w:val="00507234"/>
    <w:rsid w:val="00875278"/>
    <w:rsid w:val="008B5504"/>
    <w:rsid w:val="35DF0C3C"/>
    <w:rsid w:val="3A234B00"/>
    <w:rsid w:val="6C673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B5504"/>
    <w:pPr>
      <w:widowControl w:val="0"/>
      <w:jc w:val="both"/>
    </w:pPr>
    <w:rPr>
      <w:rFonts w:ascii="Times New Roman" w:eastAsia="宋体" w:hAnsi="Times New Roman" w:cs="Times New Roman"/>
      <w:kern w:val="2"/>
      <w:sz w:val="21"/>
      <w:szCs w:val="24"/>
    </w:rPr>
  </w:style>
  <w:style w:type="paragraph" w:styleId="2">
    <w:name w:val="heading 2"/>
    <w:basedOn w:val="a"/>
    <w:next w:val="a"/>
    <w:qFormat/>
    <w:rsid w:val="008B5504"/>
    <w:pPr>
      <w:keepNext/>
      <w:keepLines/>
      <w:widowControl/>
      <w:spacing w:before="260" w:after="260" w:line="416" w:lineRule="auto"/>
      <w:jc w:val="center"/>
      <w:outlineLvl w:val="1"/>
    </w:pPr>
    <w:rPr>
      <w:rFonts w:ascii="Arial" w:eastAsia="黑体" w:hAnsi="Arial"/>
      <w:b/>
      <w:kern w:val="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qFormat/>
    <w:rsid w:val="008B5504"/>
    <w:pPr>
      <w:ind w:leftChars="200" w:left="420"/>
    </w:pPr>
  </w:style>
  <w:style w:type="table" w:styleId="a4">
    <w:name w:val="Table Grid"/>
    <w:basedOn w:val="a2"/>
    <w:uiPriority w:val="59"/>
    <w:qFormat/>
    <w:rsid w:val="008B550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标题 11"/>
    <w:basedOn w:val="a"/>
    <w:uiPriority w:val="1"/>
    <w:qFormat/>
    <w:rsid w:val="008B5504"/>
    <w:pPr>
      <w:spacing w:line="590" w:lineRule="exact"/>
      <w:ind w:left="3"/>
      <w:outlineLvl w:val="1"/>
    </w:pPr>
    <w:rPr>
      <w:rFonts w:ascii="Microsoft JhengHei" w:eastAsia="Microsoft JhengHei" w:hAnsi="Microsoft JhengHei" w:cs="Microsoft JhengHei"/>
      <w:b/>
      <w:bCs/>
      <w:sz w:val="44"/>
      <w:szCs w:val="44"/>
    </w:rPr>
  </w:style>
  <w:style w:type="paragraph" w:styleId="a5">
    <w:name w:val="header"/>
    <w:basedOn w:val="a"/>
    <w:link w:val="Char"/>
    <w:rsid w:val="00187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18717A"/>
    <w:rPr>
      <w:rFonts w:ascii="Times New Roman" w:eastAsia="宋体" w:hAnsi="Times New Roman" w:cs="Times New Roman"/>
      <w:kern w:val="2"/>
      <w:sz w:val="18"/>
      <w:szCs w:val="18"/>
    </w:rPr>
  </w:style>
  <w:style w:type="paragraph" w:styleId="a6">
    <w:name w:val="footer"/>
    <w:basedOn w:val="a"/>
    <w:link w:val="Char0"/>
    <w:rsid w:val="0018717A"/>
    <w:pPr>
      <w:tabs>
        <w:tab w:val="center" w:pos="4153"/>
        <w:tab w:val="right" w:pos="8306"/>
      </w:tabs>
      <w:snapToGrid w:val="0"/>
      <w:jc w:val="left"/>
    </w:pPr>
    <w:rPr>
      <w:sz w:val="18"/>
      <w:szCs w:val="18"/>
    </w:rPr>
  </w:style>
  <w:style w:type="character" w:customStyle="1" w:styleId="Char0">
    <w:name w:val="页脚 Char"/>
    <w:basedOn w:val="a1"/>
    <w:link w:val="a6"/>
    <w:rsid w:val="0018717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malin</cp:lastModifiedBy>
  <cp:revision>5</cp:revision>
  <dcterms:created xsi:type="dcterms:W3CDTF">2021-06-27T13:07:00Z</dcterms:created>
  <dcterms:modified xsi:type="dcterms:W3CDTF">2021-12-01T10:24:00Z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7A290227E5D943018669B1A4EE25DC0C</vt:lpwstr>
  </property>
</Properties>
</file>